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F8" w:rsidRDefault="006D0718">
      <w:bookmarkStart w:id="0" w:name="_GoBack"/>
      <w:r>
        <w:t xml:space="preserve">DOCUMENTOS EXCLUSIVOS: </w:t>
      </w:r>
      <w:r w:rsidR="006B64F8">
        <w:t xml:space="preserve">MAXIMO KIRCHNER VINCULADO CON LULA EN LA CORRUPCION </w:t>
      </w:r>
      <w:r>
        <w:t xml:space="preserve">PETROBRAS </w:t>
      </w:r>
    </w:p>
    <w:p w:rsidR="006B64F8" w:rsidRPr="006B64F8" w:rsidRDefault="006B64F8" w:rsidP="006B64F8">
      <w:pPr>
        <w:shd w:val="clear" w:color="auto" w:fill="FAFAFA"/>
        <w:spacing w:before="269" w:after="269" w:line="294" w:lineRule="atLeast"/>
        <w:jc w:val="both"/>
        <w:outlineLvl w:val="3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</w:pPr>
      <w:r w:rsidRPr="006B64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t xml:space="preserve">Documentos recolectados en la investigación judicial confirman un circuito de retornos de dinero entre el ex presidente Lula Da Silva y los empresarios procesados en el esquema de corrupción de la Operación Lava Jato. El documento que complica a Lula en relación al inmueble de </w:t>
      </w:r>
      <w:proofErr w:type="spellStart"/>
      <w:r w:rsidRPr="006B64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t>Atibaia</w:t>
      </w:r>
      <w:proofErr w:type="spellEnd"/>
      <w:r w:rsidRPr="006B64F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s-MX"/>
        </w:rPr>
        <w:t>.</w:t>
      </w:r>
    </w:p>
    <w:p w:rsidR="006B64F8" w:rsidRDefault="006B64F8"/>
    <w:p w:rsidR="006B64F8" w:rsidRDefault="006B64F8">
      <w:r>
        <w:t xml:space="preserve">La relación directa se relaciona con facturas a la Inmobiliaria de Máximo que vendió después del escándalo y que investiga el Juez Bonadío </w:t>
      </w:r>
    </w:p>
    <w:p w:rsidR="006B64F8" w:rsidRDefault="006B64F8">
      <w:r>
        <w:t xml:space="preserve">Ahora para que entienda la introducción al caso “lava jato” y después los documentos 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La relación más encarnada en la investigación de esta causa se revela a través de dos empresas que pertenecen al ex presidente: el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Instituto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Luiz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Inacio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 Lula Da Silva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y la empresa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LILS Palestras, Eventos y Publicaciones Ltda.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Algunos de estos empresarios, según el documento, viajaban al exterior con relativa frecuencia junto a Lula. Sumado a este indicio, la justicia también confirmó que entre los años 2011 y 2014, los mayores donantes de recursos financieros para el Instituto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Luiz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Inacio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Lula Da Silva fueron exactamente los mayores contratantes de conferencias mediante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LILS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: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Camargo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 Correa,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Odebrecht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Queiroz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Galvao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, OAS y Andrade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Gutierrez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todas ellas implicadas en la Operación Lava Jato.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El Instituto del ex presidente Lula recibió en ese período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35 millones de reales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 De ese monto, 20.7 millones (cerca del 60%) fueron pagados por estas cinco empresas constructoras. Y entre las dos empresas de Lula Da Silva, recaudaron en total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más de 55 millones de reales entre 2011 y 2014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( 1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)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</w:p>
    <w:p w:rsidR="006B64F8" w:rsidRPr="006B64F8" w:rsidRDefault="006B64F8"/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También descubrió la justicia que en ese período las empresas de Lula destinaron recursos financieros hacia personas cercanas al ex presidente y a ex funcionarios y empleados de su gobierno. En especial, destaca la justicia que la empresa que más dinero recibió de parte del Instituto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Luiz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Inacio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Lula Da Silva fue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G4 Entretenimiento y Tecnología Digital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( 1.34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millones de reales entre 2012 y 2014), empresa de la que es socio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Fabio Lula Da Silva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hijo del ex presidente, junto a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Fernando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Bittar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, quien es el titular de la lujosa propiedad en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Atibaia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, sospechada de pertenecer a Lula.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Otra empresa que recibió recursos fue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FlexBR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 Tecnología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Ltda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que tiene el mismo domicilio que G4 y cuyos socios se encuentran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dos hijos de Lula Da Silva, junto a su nuera Marlene Araujo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. Esta empresa recibió 72 mil reales de parte de LILS Palestras, Eventos y Publicaciones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Ltda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entre 2013 y 2014, además de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227 mil reales que recibió como particular Luis Claudio, otro de los hijos del ex presidente Lula.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Entre las justificaciones de los pagos recibidos figuran, por ejemplo, el pago de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U$S 200 mil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que realizó la constructora OAS por una conferencia de Lula Da Silva, el 30 de agosto de 2011, en el hotel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Hyatt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Regency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 de Trinidad y Tobago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 El mismo pago (U$S 200 mil) también realizó OAS por otra conferencia de Lula en Costa Rica, denominada “La Integración Regional y Desarrollo Social y Económico de los países Latinoamericanos”.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Odebrecht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la constructora cuyo CEO fue condenado recientemente a 19 años de prisión, también realizó pagos similares: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entre 450 y 400 mil reales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(cada conferencia) recibió Lula Da Silva por eventos realizados en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en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Luanda (Angola), Lima (Perú),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Havana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(Cuba), Santo Domingo (República Dominicana), Lisboa (Portugal) y en Venezuela.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Entre los documentos secuestrados, figuran varios pagos de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Odebrecht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entre ellos un pago de 480 mil reales que realizó esta constructora a LILS en referencia a un evento de lanzamiento de "LE Plantas Industriales en Angola", con fecha de pago en mayo de 2014 y otro pago de 375 mil reales respecto a una charla de Lula en Lima, Perú (foto).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2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Además la justicia confirmó que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Paulo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Okamotto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, socio de Lula en LILS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y poseedor del 2% (el otro 98% está en manos de Lula),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fue parte de las maniobras para "lavar" parte de ese dinero recibido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mediante el pago del alquiler de un depósito mensual para guardar muebles y pertenencias de Lula Da Silva cuando dejó la presidencia.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Esos pagos fueron por 1.2 millones de reales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Respecto a este dato, la justicia confirmó mediante evidencias que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OAS, otra de las constructoras implicadas en la causa Lava Jato, le pagaba dinero indebido a Lula Da Silva por medio del contrato del depósito guardamuebles de la empresa Granero Transportes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, "con adopción de medidas de ocultamiento del origen y propiedad de los bienes con el fin de dar apariencia lícita a la transferencia de valores provenientes de delitos penales practicados en el ámbito de la causa Petrobras", reza el texto judicial.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3</w:t>
      </w:r>
    </w:p>
    <w:p w:rsidR="006B64F8" w:rsidRDefault="006B64F8">
      <w:pP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</w:pPr>
    </w:p>
    <w:p w:rsidR="006B64F8" w:rsidRDefault="006B64F8"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Finalmente, el extenso documento probatorio señala los fuertes indicios que tiene la justicia de Brasil respecto a la titularidad real de la propiedad de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Atibaia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. En ese sentido, una factura secuestrada (foto) en 5 Estrellas, una de las empresas de mudanzas de Granero Transportes, refleja que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AFAFA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 xml:space="preserve">parte de la mudanza de las pertenencias de Lula Da Silva, después del fin de su mandato, tuvo como destino el referido inmueble de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Atibaia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AFAFA"/>
        </w:rPr>
        <w:t>. Rogerio Pimentel, ex asesor de Presidencia bajo la gestión de Lula, fue el encargado y responsable del recibimiento de estos bienes, el 8 de enero de 2011.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>Andrés Ballesteros</w:t>
      </w:r>
      <w:r>
        <w:rPr>
          <w:rFonts w:ascii="Helvetica" w:hAnsi="Helvetica" w:cs="Helvetica"/>
          <w:color w:val="333333"/>
          <w:sz w:val="21"/>
          <w:szCs w:val="21"/>
        </w:rPr>
        <w:br/>
      </w:r>
      <w:hyperlink r:id="rId4" w:tgtFrame="_blank" w:history="1">
        <w:r>
          <w:rPr>
            <w:rStyle w:val="Hipervnculo"/>
            <w:rFonts w:ascii="Helvetica" w:hAnsi="Helvetica" w:cs="Helvetica"/>
            <w:color w:val="009EB8"/>
            <w:sz w:val="21"/>
            <w:szCs w:val="21"/>
            <w:shd w:val="clear" w:color="auto" w:fill="FAFAFA"/>
          </w:rPr>
          <w:t>@gilmourde9</w:t>
        </w:r>
      </w:hyperlink>
    </w:p>
    <w:p w:rsidR="006B64F8" w:rsidRDefault="006B64F8"/>
    <w:p w:rsidR="006B64F8" w:rsidRDefault="006B64F8">
      <w:r>
        <w:t>Ahora la parte de los Documentos que  vinculan a Máximo Kirchner con Lula</w:t>
      </w:r>
    </w:p>
    <w:p w:rsidR="006B64F8" w:rsidRDefault="006B64F8"/>
    <w:p w:rsidR="006B64F8" w:rsidRDefault="006B64F8" w:rsidP="006B64F8">
      <w:pPr>
        <w:pStyle w:val="Ttulo3"/>
        <w:shd w:val="clear" w:color="auto" w:fill="EEEEEE"/>
        <w:rPr>
          <w:color w:val="000000"/>
        </w:rPr>
      </w:pPr>
      <w:proofErr w:type="gramStart"/>
      <w:r>
        <w:rPr>
          <w:color w:val="000000"/>
        </w:rPr>
        <w:t>la</w:t>
      </w:r>
      <w:proofErr w:type="gramEnd"/>
      <w:r>
        <w:rPr>
          <w:color w:val="000000"/>
        </w:rPr>
        <w:t xml:space="preserve"> conexión entre Máximo y </w:t>
      </w:r>
      <w:proofErr w:type="spellStart"/>
      <w:r>
        <w:rPr>
          <w:color w:val="000000"/>
        </w:rPr>
        <w:t>Odebrecht</w:t>
      </w:r>
      <w:proofErr w:type="spellEnd"/>
      <w:r>
        <w:rPr>
          <w:color w:val="000000"/>
        </w:rPr>
        <w:t>? Es interesante ver como todos los socios de la familia K</w:t>
      </w:r>
      <w:r>
        <w:rPr>
          <w:rStyle w:val="apple-converted-space"/>
          <w:color w:val="000000"/>
        </w:rPr>
        <w:t> </w:t>
      </w:r>
    </w:p>
    <w:p w:rsidR="006B64F8" w:rsidRDefault="006B64F8"/>
    <w:p w:rsidR="006B64F8" w:rsidRDefault="006B64F8"/>
    <w:p w:rsidR="006B64F8" w:rsidRDefault="006B64F8"/>
    <w:p w:rsidR="006B64F8" w:rsidRDefault="006B64F8"/>
    <w:p w:rsidR="006B64F8" w:rsidRDefault="006B64F8"/>
    <w:p w:rsidR="006B64F8" w:rsidRDefault="006B64F8"/>
    <w:bookmarkEnd w:id="0"/>
    <w:p w:rsidR="006B64F8" w:rsidRDefault="006B64F8"/>
    <w:sectPr w:rsidR="006B6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F8"/>
    <w:rsid w:val="006B64F8"/>
    <w:rsid w:val="006D0718"/>
    <w:rsid w:val="009511C1"/>
    <w:rsid w:val="00B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53C3-9F9E-4B99-9934-042D05F2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6B6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B64F8"/>
  </w:style>
  <w:style w:type="character" w:customStyle="1" w:styleId="Ttulo4Car">
    <w:name w:val="Título 4 Car"/>
    <w:basedOn w:val="Fuentedeprrafopredeter"/>
    <w:link w:val="Ttulo4"/>
    <w:uiPriority w:val="9"/>
    <w:rsid w:val="006B64F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B64F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4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witter.com/gilmourde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2</cp:revision>
  <dcterms:created xsi:type="dcterms:W3CDTF">2016-09-19T21:35:00Z</dcterms:created>
  <dcterms:modified xsi:type="dcterms:W3CDTF">2016-09-21T13:27:00Z</dcterms:modified>
</cp:coreProperties>
</file>